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03" w:rsidRDefault="00890703" w:rsidP="00890703">
      <w:pPr>
        <w:jc w:val="both"/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</w:pPr>
      <w:bookmarkStart w:id="0" w:name="_GoBack"/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Circular 21</w:t>
      </w:r>
      <w:r w:rsidR="00E373BE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/2014 Análisis Financiero y Presupuestal</w:t>
      </w:r>
      <w:r w:rsidR="005742F7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- Complemento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.  </w:t>
      </w:r>
      <w:r w:rsidR="00F321C7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Especificaciones para la Integración 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Documentación Comprobatoria </w:t>
      </w:r>
      <w:r w:rsidR="00F321C7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a Entregar 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en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el Archivo de Concentración</w:t>
      </w:r>
      <w:r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 xml:space="preserve"> ASE</w:t>
      </w: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t>.</w:t>
      </w:r>
    </w:p>
    <w:bookmarkEnd w:id="0"/>
    <w:p w:rsidR="00436587" w:rsidRDefault="00890703" w:rsidP="00890703">
      <w:pPr>
        <w:jc w:val="both"/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</w:pPr>
      <w:r w:rsidRPr="00890703">
        <w:rPr>
          <w:rFonts w:ascii="Segoe UI Light" w:eastAsia="Times New Roman" w:hAnsi="Segoe UI Light" w:cs="Times New Roman"/>
          <w:b/>
          <w:color w:val="444444"/>
          <w:sz w:val="32"/>
          <w:szCs w:val="32"/>
          <w:u w:val="single"/>
          <w:lang w:eastAsia="es-MX"/>
        </w:rPr>
        <w:br/>
      </w:r>
      <w:r w:rsidRPr="00890703">
        <w:rPr>
          <w:rFonts w:ascii="Calibri" w:eastAsia="Times New Roman" w:hAnsi="Calibri" w:cs="Calibri"/>
          <w:b/>
          <w:bCs/>
          <w:color w:val="444444"/>
          <w:sz w:val="23"/>
          <w:szCs w:val="23"/>
          <w:lang w:eastAsia="es-MX"/>
        </w:rPr>
        <w:t>CON ATENCIÓN A: PRESIDENTES Y TESOREROS MUNICIPALES Y DIRECTORES DE SISTEMAS DE AGUA POTABLE.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Las Pólizas y documentación comprobatoria se deben </w:t>
      </w: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presentar en legajos separados según el tipo de Póliza o Documentación</w:t>
      </w:r>
      <w:r w:rsidR="00F321C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, independientemente en el módulo que se capturó en el SAACG.NET, </w:t>
      </w: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como se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muestra a continuación: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Style w:val="apple-converted-space"/>
          <w:rFonts w:ascii="Calibri" w:hAnsi="Calibri" w:cs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 w:cs="Calibri"/>
          <w:color w:val="444444"/>
          <w:sz w:val="23"/>
          <w:szCs w:val="23"/>
        </w:rPr>
        <w:br/>
      </w: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Pólizas CHEQUE</w:t>
      </w:r>
      <w:r w:rsidR="004C5B7A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 (C0000X)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p w:rsidR="00F321C7" w:rsidRDefault="00F321C7" w:rsidP="004C5B7A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Nota: Todas las póliz</w:t>
      </w:r>
      <w:r w:rsidR="004C5B7A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as cheque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deben contar con su respectiva </w:t>
      </w:r>
      <w:r w:rsidR="004C5B7A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d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ocumentación comprobatoria</w:t>
      </w:r>
      <w:r w:rsidR="004C5B7A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, aún y cuando una comprobación corresponda a dos pólizas diferentes. </w:t>
      </w:r>
    </w:p>
    <w:p w:rsidR="004C5B7A" w:rsidRDefault="004C5B7A" w:rsidP="004C5B7A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Ejemplo</w:t>
      </w:r>
    </w:p>
    <w:p w:rsidR="004C5B7A" w:rsidRDefault="004C5B7A" w:rsidP="004C5B7A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Factura 2345 por $1,000.00.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ab/>
        <w:t>Se paga con la póliza C00001 $600.00 y con la C00002 $400.00; deberá sacar copia de la factura y anexarla en ambas pólizas y especificar en la cada una la cantidad que se está pagando.</w:t>
      </w:r>
    </w:p>
    <w:p w:rsidR="00083721" w:rsidRDefault="00083721" w:rsidP="00890703">
      <w:pPr>
        <w:jc w:val="both"/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</w:pP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Pólizas de EGRESOS</w:t>
      </w:r>
      <w:r w:rsidR="004C5B7A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 (E0000X)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p w:rsidR="004C5B7A" w:rsidRDefault="004C5B7A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Nota: Mismas indicaciones que en póliza de cheque.</w:t>
      </w:r>
    </w:p>
    <w:p w:rsidR="004C5B7A" w:rsidRDefault="004C5B7A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</w:p>
    <w:p w:rsidR="00083721" w:rsidRDefault="004C5B7A" w:rsidP="004C5B7A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Pólizas PRESUPUESTALES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</w:t>
      </w:r>
      <w:r w:rsidR="00083721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(P0000X)</w:t>
      </w:r>
    </w:p>
    <w:p w:rsidR="001E6C74" w:rsidRDefault="00DD0CDE" w:rsidP="004C5B7A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Nota</w:t>
      </w:r>
      <w:r w:rsid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s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: </w:t>
      </w:r>
    </w:p>
    <w:p w:rsidR="004C5B7A" w:rsidRPr="001E6C74" w:rsidRDefault="00DD0CDE" w:rsidP="001E6C7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Se presenta </w:t>
      </w:r>
      <w:r w:rsidR="004C5B7A" w:rsidRPr="001E6C74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únicamente las póliza</w:t>
      </w:r>
      <w:r w:rsidRPr="001E6C74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s</w:t>
      </w:r>
      <w:r w:rsidR="004C5B7A" w:rsidRPr="001E6C74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 del momento contable del </w:t>
      </w:r>
      <w:r w:rsidR="004C5B7A" w:rsidRPr="001E6C74">
        <w:rPr>
          <w:rFonts w:ascii="Calibri" w:hAnsi="Calibri" w:cs="Calibri"/>
          <w:b/>
          <w:color w:val="444444"/>
          <w:sz w:val="23"/>
          <w:szCs w:val="23"/>
          <w:u w:val="single"/>
          <w:shd w:val="clear" w:color="auto" w:fill="FFFFFF"/>
        </w:rPr>
        <w:t>devengado</w:t>
      </w:r>
      <w:r w:rsidR="001E6C74" w:rsidRPr="001E6C74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 (GD)</w:t>
      </w:r>
      <w:r w:rsidRPr="001E6C74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,</w:t>
      </w:r>
      <w:r w:rsidR="001E6C74" w:rsidRP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en donde se ve reflejada</w:t>
      </w:r>
      <w:r w:rsidR="004C5B7A" w:rsidRP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la creación del pasivo</w:t>
      </w:r>
      <w:r w:rsid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s de fin de mes, anexando </w:t>
      </w:r>
      <w:r w:rsidR="004C5B7A" w:rsidRP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el soporte documental</w:t>
      </w:r>
      <w:r w:rsidR="001E6C74" w:rsidRP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que le corresponde (</w:t>
      </w:r>
      <w:r w:rsidR="004C5B7A" w:rsidRP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Orden de Compra, Compra y Factura/CFDI).</w:t>
      </w:r>
    </w:p>
    <w:p w:rsidR="004C5B7A" w:rsidRDefault="001E6C74" w:rsidP="001E6C7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1E6C74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lastRenderedPageBreak/>
        <w:t>L</w:t>
      </w:r>
      <w:r w:rsidR="004C5B7A" w:rsidRPr="001E6C74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as pólizas presupuestales del devengado se presentan solo cuando se hayan realizado las operaciones por MOMENTOS CONTABLES</w:t>
      </w:r>
      <w:r w:rsidR="004C5B7A" w:rsidRP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mediante los MÓDULOS DE EGRESOS (Gasto devengado) y de COMPRAS (Recepción de Compras-Gasto Devengado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), </w:t>
      </w:r>
      <w:r w:rsidR="004C5B7A" w:rsidRP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no cuando se realice a través de Pago Directo.</w:t>
      </w:r>
    </w:p>
    <w:p w:rsidR="001E6C74" w:rsidRPr="001E6C74" w:rsidRDefault="001E6C74" w:rsidP="001E6C74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Las pólizas presupuestales correspondientes a los </w:t>
      </w:r>
      <w:r w:rsidRPr="001E6C74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momentos contables del Comprometido (GC) y Ejercido (GE) NO SE PRESENTAN </w:t>
      </w:r>
      <w:r w:rsidRP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en la documentación comprobatoria ya que sólo son movimientos de orden presupuestal.</w:t>
      </w:r>
    </w:p>
    <w:p w:rsidR="004C5B7A" w:rsidRDefault="004C5B7A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</w:p>
    <w:p w:rsidR="001E6C74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Pólizas de DIARIO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</w:t>
      </w:r>
      <w:r w:rsidR="001E6C74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(D0000X).</w:t>
      </w:r>
    </w:p>
    <w:p w:rsidR="00890703" w:rsidRDefault="001E6C74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Nota: La d</w:t>
      </w:r>
      <w:r w:rsidR="00890703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ocumentación comprobatoria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se presenta invariablemente anexa a éstas pólizas, salvo cuando correspondan a ajustes</w:t>
      </w:r>
      <w:r w:rsidR="00890703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p w:rsidR="006040EF" w:rsidRDefault="006040EF" w:rsidP="008A18CE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</w:p>
    <w:p w:rsidR="001E6C74" w:rsidRDefault="001E6C74" w:rsidP="001E6C74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436587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 xml:space="preserve">Pólizas </w:t>
      </w:r>
      <w:r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canceladas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p w:rsidR="001E6C74" w:rsidRDefault="001E6C74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706DF9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Nota: Debido a que el SAACG.NET, al momento de realizar una cancelación de una operación realizada a través de los módulos, no cancela la póliza, si no que realiza una póliza de cancelación, con los mismos movimientos que en la original pero en negativo (-), deberá </w:t>
      </w:r>
      <w:r w:rsidR="00706DF9" w:rsidRPr="00706DF9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poner manualmente una anotación en la póliza original, con la leyenda “Cancelada en póliza ____”</w:t>
      </w:r>
      <w:r w:rsidR="00706DF9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p w:rsidR="00706DF9" w:rsidRDefault="00706DF9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 w:rsidRPr="006040EF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La documentación original de OBRA PÚBLICA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se debe presentar en un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legajo aparte con sus Pólizas y Documentación Comprobatoria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correspondiente</w:t>
      </w:r>
      <w:r w:rsidR="00706DF9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y en los legajos de las Pólizas CHEQUE, EGRESOS y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DIARIO, que presenta </w:t>
      </w:r>
      <w:r w:rsidR="00706DF9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T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esorería</w:t>
      </w:r>
      <w:r w:rsidR="00706DF9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solo presentar copia de </w:t>
      </w:r>
      <w:proofErr w:type="gramStart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la pólizas que</w:t>
      </w: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corresponda</w:t>
      </w:r>
      <w:proofErr w:type="gramEnd"/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.</w:t>
      </w:r>
    </w:p>
    <w:p w:rsidR="00890703" w:rsidRPr="00706DF9" w:rsidRDefault="00890703" w:rsidP="00890703">
      <w:pPr>
        <w:jc w:val="both"/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</w:rPr>
        <w:br/>
      </w:r>
      <w:r w:rsidRPr="00706DF9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La documentación original de AGUA POTABLE-DEPARTAMENTO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se debe presentar en un legajo aparte con sus Pólizas y Documentación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Comprobatoria correspondiente o en una caja aparte si es bastante información y en los legajos de las Pólizas CHEQUE, EGRESOS y DIARIO</w:t>
      </w:r>
      <w:r>
        <w:rPr>
          <w:rFonts w:ascii="Calibri" w:hAnsi="Calibri" w:cs="Calibri"/>
          <w:color w:val="444444"/>
          <w:sz w:val="23"/>
          <w:szCs w:val="23"/>
        </w:rPr>
        <w:t xml:space="preserve"> 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que presenta tesorería solo presentar copia de las pólizas que corresponda.</w:t>
      </w:r>
      <w:r>
        <w:rPr>
          <w:rFonts w:ascii="Calibri" w:hAnsi="Calibri" w:cs="Calibri"/>
          <w:color w:val="444444"/>
          <w:sz w:val="23"/>
          <w:szCs w:val="23"/>
        </w:rPr>
        <w:br/>
      </w:r>
      <w:r>
        <w:rPr>
          <w:rFonts w:ascii="Calibri" w:hAnsi="Calibri" w:cs="Calibri"/>
          <w:color w:val="444444"/>
          <w:sz w:val="23"/>
          <w:szCs w:val="23"/>
        </w:rPr>
        <w:br/>
      </w:r>
      <w:r w:rsidRPr="00706DF9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La documentación de Programas Federales y Otros Programas, se entrega</w:t>
      </w:r>
      <w:r w:rsidRPr="00706DF9">
        <w:rPr>
          <w:rFonts w:ascii="Calibri" w:hAnsi="Calibri" w:cs="Calibri"/>
          <w:b/>
          <w:color w:val="444444"/>
          <w:sz w:val="23"/>
          <w:szCs w:val="23"/>
        </w:rPr>
        <w:t xml:space="preserve"> </w:t>
      </w:r>
      <w:r w:rsidRPr="00706DF9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como hasta ahora, Expediente Unitario con sus Pólizas y Documentación</w:t>
      </w:r>
      <w:r w:rsidRPr="00706DF9">
        <w:rPr>
          <w:rFonts w:ascii="Calibri" w:hAnsi="Calibri" w:cs="Calibri"/>
          <w:b/>
          <w:color w:val="444444"/>
          <w:sz w:val="23"/>
          <w:szCs w:val="23"/>
        </w:rPr>
        <w:t xml:space="preserve"> </w:t>
      </w:r>
      <w:r w:rsidRPr="00706DF9">
        <w:rPr>
          <w:rFonts w:ascii="Calibri" w:hAnsi="Calibri" w:cs="Calibri"/>
          <w:b/>
          <w:color w:val="444444"/>
          <w:sz w:val="23"/>
          <w:szCs w:val="23"/>
          <w:shd w:val="clear" w:color="auto" w:fill="FFFFFF"/>
        </w:rPr>
        <w:t>correspondiente.</w:t>
      </w:r>
    </w:p>
    <w:p w:rsidR="00890703" w:rsidRDefault="00890703" w:rsidP="00890703">
      <w:pPr>
        <w:jc w:val="both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</w:rPr>
        <w:br/>
      </w:r>
    </w:p>
    <w:p w:rsidR="00890703" w:rsidRDefault="00890703" w:rsidP="00890703">
      <w:pPr>
        <w:jc w:val="right"/>
        <w:rPr>
          <w:rFonts w:ascii="Calibri" w:hAnsi="Calibri" w:cs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lastRenderedPageBreak/>
        <w:t xml:space="preserve">Guadalupe, Zacatecas., a </w:t>
      </w:r>
      <w:r w:rsidR="00F321C7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15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</w:t>
      </w:r>
      <w:r w:rsidR="00F321C7"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>agosto</w:t>
      </w:r>
      <w:r>
        <w:rPr>
          <w:rFonts w:ascii="Calibri" w:hAnsi="Calibri" w:cs="Calibri"/>
          <w:color w:val="444444"/>
          <w:sz w:val="23"/>
          <w:szCs w:val="23"/>
          <w:shd w:val="clear" w:color="auto" w:fill="FFFFFF"/>
        </w:rPr>
        <w:t xml:space="preserve"> de 2014.</w:t>
      </w:r>
    </w:p>
    <w:p w:rsidR="00890703" w:rsidRPr="00DE2036" w:rsidRDefault="00890703" w:rsidP="00890703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Atentamente </w:t>
      </w:r>
    </w:p>
    <w:p w:rsidR="00890703" w:rsidRPr="00DE2036" w:rsidRDefault="00890703" w:rsidP="00890703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Dpto. Análisis Financiero y Presupuestal </w:t>
      </w:r>
    </w:p>
    <w:tbl>
      <w:tblPr>
        <w:tblpPr w:leftFromText="141" w:rightFromText="141" w:vertAnchor="text" w:horzAnchor="page" w:tblpX="7741" w:tblpY="503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890703" w:rsidRPr="00DE2036" w:rsidTr="001857B4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30" w:type="dxa"/>
              <w:right w:w="60" w:type="dxa"/>
            </w:tcMar>
          </w:tcPr>
          <w:p w:rsidR="00890703" w:rsidRPr="00DE2036" w:rsidRDefault="00890703" w:rsidP="001857B4">
            <w:pPr>
              <w:spacing w:after="0" w:line="258" w:lineRule="atLeast"/>
              <w:rPr>
                <w:rFonts w:ascii="Segoe UI" w:eastAsia="Times New Roman" w:hAnsi="Segoe UI" w:cs="Segoe UI"/>
                <w:color w:val="666666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30" w:type="dxa"/>
              <w:right w:w="60" w:type="dxa"/>
            </w:tcMar>
          </w:tcPr>
          <w:p w:rsidR="00890703" w:rsidRPr="00DE2036" w:rsidRDefault="00890703" w:rsidP="001857B4">
            <w:pPr>
              <w:spacing w:after="0" w:line="258" w:lineRule="atLeas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890703" w:rsidRPr="00DE2036" w:rsidRDefault="00890703" w:rsidP="00890703">
      <w:pPr>
        <w:shd w:val="clear" w:color="auto" w:fill="FFFFFF"/>
        <w:spacing w:after="324" w:line="319" w:lineRule="atLeast"/>
        <w:rPr>
          <w:rFonts w:ascii="Calibri" w:eastAsia="Times New Roman" w:hAnsi="Calibri" w:cs="Calibri"/>
          <w:color w:val="444444"/>
          <w:sz w:val="23"/>
          <w:szCs w:val="23"/>
          <w:lang w:eastAsia="es-MX"/>
        </w:rPr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 xml:space="preserve"> Dir. Auditoría Financiera a Municipios</w:t>
      </w:r>
    </w:p>
    <w:p w:rsidR="00890703" w:rsidRDefault="00890703" w:rsidP="00890703">
      <w:pPr>
        <w:shd w:val="clear" w:color="auto" w:fill="FFFFFF"/>
        <w:spacing w:after="324" w:line="319" w:lineRule="atLeast"/>
      </w:pPr>
      <w:r w:rsidRPr="00DE2036">
        <w:rPr>
          <w:rFonts w:ascii="Calibri" w:eastAsia="Times New Roman" w:hAnsi="Calibri" w:cs="Calibri"/>
          <w:b/>
          <w:bCs/>
          <w:color w:val="666666"/>
          <w:sz w:val="27"/>
          <w:szCs w:val="27"/>
          <w:lang w:eastAsia="es-MX"/>
        </w:rPr>
        <w:t>Auditoría Superior del Estado</w:t>
      </w:r>
    </w:p>
    <w:p w:rsidR="005F7CEE" w:rsidRDefault="00890703" w:rsidP="00890703">
      <w:pPr>
        <w:jc w:val="both"/>
      </w:pPr>
      <w:r>
        <w:rPr>
          <w:rFonts w:ascii="Calibri" w:hAnsi="Calibri" w:cs="Calibri"/>
          <w:color w:val="444444"/>
          <w:sz w:val="23"/>
          <w:szCs w:val="23"/>
        </w:rPr>
        <w:br/>
      </w:r>
    </w:p>
    <w:sectPr w:rsidR="005F7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07B39"/>
    <w:multiLevelType w:val="hybridMultilevel"/>
    <w:tmpl w:val="169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03"/>
    <w:rsid w:val="00083721"/>
    <w:rsid w:val="001E6C74"/>
    <w:rsid w:val="00436587"/>
    <w:rsid w:val="004C5B7A"/>
    <w:rsid w:val="005742F7"/>
    <w:rsid w:val="005F7CEE"/>
    <w:rsid w:val="006040EF"/>
    <w:rsid w:val="00706DF9"/>
    <w:rsid w:val="00890703"/>
    <w:rsid w:val="008A18CE"/>
    <w:rsid w:val="00DD0CDE"/>
    <w:rsid w:val="00E260E5"/>
    <w:rsid w:val="00E373BE"/>
    <w:rsid w:val="00F3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90703"/>
  </w:style>
  <w:style w:type="paragraph" w:styleId="Textodeglobo">
    <w:name w:val="Balloon Text"/>
    <w:basedOn w:val="Normal"/>
    <w:link w:val="TextodegloboCar"/>
    <w:uiPriority w:val="99"/>
    <w:semiHidden/>
    <w:unhideWhenUsed/>
    <w:rsid w:val="00E2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0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90703"/>
  </w:style>
  <w:style w:type="paragraph" w:styleId="Textodeglobo">
    <w:name w:val="Balloon Text"/>
    <w:basedOn w:val="Normal"/>
    <w:link w:val="TextodegloboCar"/>
    <w:uiPriority w:val="99"/>
    <w:semiHidden/>
    <w:unhideWhenUsed/>
    <w:rsid w:val="00E2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0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2014-06-26T14:57:00Z</cp:lastPrinted>
  <dcterms:created xsi:type="dcterms:W3CDTF">2014-08-15T18:27:00Z</dcterms:created>
  <dcterms:modified xsi:type="dcterms:W3CDTF">2015-05-28T20:35:00Z</dcterms:modified>
</cp:coreProperties>
</file>